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75" w:rsidRDefault="009A50E3">
      <w:r>
        <w:t>School Grounds Eco-Action Plans</w:t>
      </w:r>
    </w:p>
    <w:tbl>
      <w:tblPr>
        <w:tblStyle w:val="TableGrid"/>
        <w:tblW w:w="9918" w:type="dxa"/>
        <w:tblLayout w:type="fixed"/>
        <w:tblLook w:val="04A0"/>
      </w:tblPr>
      <w:tblGrid>
        <w:gridCol w:w="2178"/>
        <w:gridCol w:w="1440"/>
        <w:gridCol w:w="1890"/>
        <w:gridCol w:w="2152"/>
        <w:gridCol w:w="2258"/>
      </w:tblGrid>
      <w:tr w:rsidR="009A50E3" w:rsidTr="009A50E3">
        <w:tc>
          <w:tcPr>
            <w:tcW w:w="9918" w:type="dxa"/>
            <w:gridSpan w:val="5"/>
            <w:shd w:val="clear" w:color="auto" w:fill="C2D69B" w:themeFill="accent3" w:themeFillTint="99"/>
          </w:tcPr>
          <w:p w:rsidR="009A50E3" w:rsidRPr="003729A7" w:rsidRDefault="009A50E3" w:rsidP="00265BE5">
            <w:pPr>
              <w:rPr>
                <w:b/>
              </w:rPr>
            </w:pPr>
            <w:r w:rsidRPr="003729A7">
              <w:rPr>
                <w:b/>
              </w:rPr>
              <w:t xml:space="preserve">School Grounds </w:t>
            </w:r>
          </w:p>
          <w:p w:rsidR="009A50E3" w:rsidRDefault="009A50E3" w:rsidP="00265BE5"/>
        </w:tc>
      </w:tr>
      <w:tr w:rsidR="009A50E3" w:rsidTr="009A50E3">
        <w:tc>
          <w:tcPr>
            <w:tcW w:w="2178" w:type="dxa"/>
            <w:shd w:val="clear" w:color="auto" w:fill="EAF1DD" w:themeFill="accent3" w:themeFillTint="33"/>
          </w:tcPr>
          <w:p w:rsidR="009A50E3" w:rsidRDefault="009A50E3" w:rsidP="00265BE5">
            <w:r>
              <w:t>Action</w:t>
            </w:r>
          </w:p>
        </w:tc>
        <w:tc>
          <w:tcPr>
            <w:tcW w:w="1440" w:type="dxa"/>
            <w:shd w:val="clear" w:color="auto" w:fill="EAF1DD" w:themeFill="accent3" w:themeFillTint="33"/>
          </w:tcPr>
          <w:p w:rsidR="009A50E3" w:rsidRDefault="009A50E3" w:rsidP="00265BE5">
            <w:r>
              <w:t xml:space="preserve">Class </w:t>
            </w:r>
          </w:p>
        </w:tc>
        <w:tc>
          <w:tcPr>
            <w:tcW w:w="1890" w:type="dxa"/>
            <w:shd w:val="clear" w:color="auto" w:fill="EAF1DD" w:themeFill="accent3" w:themeFillTint="33"/>
          </w:tcPr>
          <w:p w:rsidR="009A50E3" w:rsidRDefault="009A50E3" w:rsidP="00265BE5">
            <w:r>
              <w:t>How to Monitor</w:t>
            </w:r>
          </w:p>
        </w:tc>
        <w:tc>
          <w:tcPr>
            <w:tcW w:w="2152" w:type="dxa"/>
            <w:shd w:val="clear" w:color="auto" w:fill="EAF1DD" w:themeFill="accent3" w:themeFillTint="33"/>
          </w:tcPr>
          <w:p w:rsidR="009A50E3" w:rsidRDefault="009A50E3" w:rsidP="00265BE5">
            <w:r>
              <w:t>Link to Curriculum</w:t>
            </w:r>
          </w:p>
        </w:tc>
        <w:tc>
          <w:tcPr>
            <w:tcW w:w="2258" w:type="dxa"/>
            <w:shd w:val="clear" w:color="auto" w:fill="EAF1DD" w:themeFill="accent3" w:themeFillTint="33"/>
          </w:tcPr>
          <w:p w:rsidR="009A50E3" w:rsidRDefault="009A50E3" w:rsidP="00265BE5">
            <w:r>
              <w:t>Community involvement</w:t>
            </w:r>
          </w:p>
        </w:tc>
      </w:tr>
      <w:tr w:rsidR="009A50E3" w:rsidTr="009A50E3">
        <w:tc>
          <w:tcPr>
            <w:tcW w:w="2178" w:type="dxa"/>
          </w:tcPr>
          <w:p w:rsidR="009A50E3" w:rsidRDefault="009A50E3" w:rsidP="00265BE5">
            <w:r>
              <w:t>Rain Barrel</w:t>
            </w:r>
          </w:p>
        </w:tc>
        <w:tc>
          <w:tcPr>
            <w:tcW w:w="1440" w:type="dxa"/>
          </w:tcPr>
          <w:p w:rsidR="009A50E3" w:rsidRDefault="009A50E3" w:rsidP="00265BE5">
            <w:r>
              <w:t>Both</w:t>
            </w:r>
          </w:p>
          <w:p w:rsidR="009A50E3" w:rsidRDefault="009A50E3" w:rsidP="00265BE5">
            <w:r>
              <w:t>June 2013</w:t>
            </w:r>
          </w:p>
          <w:p w:rsidR="009A50E3" w:rsidRDefault="009A50E3" w:rsidP="00265BE5">
            <w:r>
              <w:t>$100</w:t>
            </w:r>
          </w:p>
        </w:tc>
        <w:tc>
          <w:tcPr>
            <w:tcW w:w="1890" w:type="dxa"/>
          </w:tcPr>
          <w:p w:rsidR="009A50E3" w:rsidRDefault="009A50E3" w:rsidP="00265BE5">
            <w:r>
              <w:t>Estimate how many gallons saved (25 gal. weekly)</w:t>
            </w:r>
          </w:p>
        </w:tc>
        <w:tc>
          <w:tcPr>
            <w:tcW w:w="2152" w:type="dxa"/>
          </w:tcPr>
          <w:p w:rsidR="009A50E3" w:rsidRDefault="009A50E3" w:rsidP="00265BE5">
            <w:r>
              <w:t>Gardening, conservation, biology, nutrition</w:t>
            </w:r>
          </w:p>
        </w:tc>
        <w:tc>
          <w:tcPr>
            <w:tcW w:w="2258" w:type="dxa"/>
          </w:tcPr>
          <w:p w:rsidR="009A50E3" w:rsidRDefault="009A50E3" w:rsidP="00265BE5">
            <w:r>
              <w:t>PTA bought us the rain barrel with fund raiser money</w:t>
            </w:r>
          </w:p>
        </w:tc>
      </w:tr>
      <w:tr w:rsidR="009A50E3" w:rsidTr="009A50E3">
        <w:tc>
          <w:tcPr>
            <w:tcW w:w="2178" w:type="dxa"/>
          </w:tcPr>
          <w:p w:rsidR="009A50E3" w:rsidRDefault="009A50E3" w:rsidP="00265BE5">
            <w:r>
              <w:t>Schoolyard Habitat</w:t>
            </w:r>
          </w:p>
        </w:tc>
        <w:tc>
          <w:tcPr>
            <w:tcW w:w="1440" w:type="dxa"/>
          </w:tcPr>
          <w:p w:rsidR="009A50E3" w:rsidRDefault="009A50E3" w:rsidP="00265BE5">
            <w:r>
              <w:t>School-wide</w:t>
            </w:r>
          </w:p>
          <w:p w:rsidR="009A50E3" w:rsidRDefault="009A50E3" w:rsidP="00265BE5">
            <w:r>
              <w:t>Feb. 2014</w:t>
            </w:r>
          </w:p>
          <w:p w:rsidR="009A50E3" w:rsidRDefault="009A50E3" w:rsidP="00265BE5">
            <w:r>
              <w:t>$60</w:t>
            </w:r>
          </w:p>
        </w:tc>
        <w:tc>
          <w:tcPr>
            <w:tcW w:w="1890" w:type="dxa"/>
          </w:tcPr>
          <w:p w:rsidR="009A50E3" w:rsidRDefault="009A50E3" w:rsidP="00265BE5">
            <w:r>
              <w:t>Note wildlife seen</w:t>
            </w:r>
          </w:p>
        </w:tc>
        <w:tc>
          <w:tcPr>
            <w:tcW w:w="2152" w:type="dxa"/>
          </w:tcPr>
          <w:p w:rsidR="009A50E3" w:rsidRDefault="009A50E3" w:rsidP="00265BE5">
            <w:r>
              <w:t>Biology, math</w:t>
            </w:r>
          </w:p>
        </w:tc>
        <w:tc>
          <w:tcPr>
            <w:tcW w:w="2258" w:type="dxa"/>
          </w:tcPr>
          <w:p w:rsidR="009A50E3" w:rsidRDefault="009A50E3" w:rsidP="00265BE5">
            <w:r>
              <w:t>Ask for food</w:t>
            </w:r>
          </w:p>
          <w:p w:rsidR="009A50E3" w:rsidRDefault="009A50E3" w:rsidP="00265BE5">
            <w:r>
              <w:t>PTA will pay for sign</w:t>
            </w:r>
          </w:p>
        </w:tc>
      </w:tr>
      <w:tr w:rsidR="009A50E3" w:rsidTr="009A50E3">
        <w:tc>
          <w:tcPr>
            <w:tcW w:w="2178" w:type="dxa"/>
          </w:tcPr>
          <w:p w:rsidR="009A50E3" w:rsidRDefault="009A50E3" w:rsidP="00265BE5">
            <w:r w:rsidRPr="009A50E3">
              <w:rPr>
                <w:highlight w:val="yellow"/>
              </w:rPr>
              <w:t>Art</w:t>
            </w:r>
            <w:r w:rsidRPr="00E77F05">
              <w:t xml:space="preserve"> –</w:t>
            </w:r>
            <w:r w:rsidRPr="00B6012F">
              <w:t xml:space="preserve"> 4 season grouping of collages</w:t>
            </w:r>
            <w:r>
              <w:t xml:space="preserve"> outside near where the kids line up</w:t>
            </w:r>
          </w:p>
        </w:tc>
        <w:tc>
          <w:tcPr>
            <w:tcW w:w="1440" w:type="dxa"/>
          </w:tcPr>
          <w:p w:rsidR="009A50E3" w:rsidRDefault="009A50E3" w:rsidP="00265BE5">
            <w:r>
              <w:t>Both</w:t>
            </w:r>
          </w:p>
          <w:p w:rsidR="009A50E3" w:rsidRDefault="009A50E3" w:rsidP="00265BE5">
            <w:r>
              <w:t>April 2014</w:t>
            </w:r>
          </w:p>
          <w:p w:rsidR="009A50E3" w:rsidRDefault="009A50E3" w:rsidP="00265BE5">
            <w:r>
              <w:t>Art supplies</w:t>
            </w:r>
          </w:p>
        </w:tc>
        <w:tc>
          <w:tcPr>
            <w:tcW w:w="1890" w:type="dxa"/>
          </w:tcPr>
          <w:p w:rsidR="009A50E3" w:rsidRDefault="009A50E3" w:rsidP="00265BE5">
            <w:r>
              <w:t>Survey enjoyment</w:t>
            </w:r>
          </w:p>
        </w:tc>
        <w:tc>
          <w:tcPr>
            <w:tcW w:w="2152" w:type="dxa"/>
          </w:tcPr>
          <w:p w:rsidR="009A50E3" w:rsidRDefault="009A50E3" w:rsidP="00265BE5">
            <w:r>
              <w:t>Art, science seasons</w:t>
            </w:r>
          </w:p>
        </w:tc>
        <w:tc>
          <w:tcPr>
            <w:tcW w:w="2258" w:type="dxa"/>
          </w:tcPr>
          <w:p w:rsidR="009A50E3" w:rsidRDefault="009A50E3" w:rsidP="00265BE5">
            <w:r>
              <w:t>All classrooms could help, art teacher could come in.</w:t>
            </w:r>
          </w:p>
        </w:tc>
      </w:tr>
      <w:tr w:rsidR="009A50E3" w:rsidTr="009A50E3">
        <w:tc>
          <w:tcPr>
            <w:tcW w:w="2178" w:type="dxa"/>
          </w:tcPr>
          <w:p w:rsidR="009A50E3" w:rsidRDefault="009A50E3" w:rsidP="00265BE5">
            <w:r w:rsidRPr="009A50E3">
              <w:rPr>
                <w:highlight w:val="yellow"/>
              </w:rPr>
              <w:t>More water</w:t>
            </w:r>
            <w:r>
              <w:t xml:space="preserve"> sources for birds, fill bird feeders</w:t>
            </w:r>
          </w:p>
        </w:tc>
        <w:tc>
          <w:tcPr>
            <w:tcW w:w="1440" w:type="dxa"/>
          </w:tcPr>
          <w:p w:rsidR="009A50E3" w:rsidRDefault="009A50E3" w:rsidP="00265BE5">
            <w:r>
              <w:t>Both</w:t>
            </w:r>
          </w:p>
          <w:p w:rsidR="009A50E3" w:rsidRDefault="009A50E3" w:rsidP="00265BE5">
            <w:r>
              <w:t>April 2014</w:t>
            </w:r>
          </w:p>
          <w:p w:rsidR="009A50E3" w:rsidRDefault="009A50E3" w:rsidP="00265BE5">
            <w:r>
              <w:t>Cost of bird seed and bath</w:t>
            </w:r>
          </w:p>
        </w:tc>
        <w:tc>
          <w:tcPr>
            <w:tcW w:w="1890" w:type="dxa"/>
          </w:tcPr>
          <w:p w:rsidR="009A50E3" w:rsidRDefault="009A50E3" w:rsidP="00265BE5">
            <w:r>
              <w:t>Record bird species</w:t>
            </w:r>
          </w:p>
          <w:p w:rsidR="009A50E3" w:rsidRDefault="009A50E3" w:rsidP="00265BE5">
            <w:r>
              <w:t>Problem with children playing in bird baths now</w:t>
            </w:r>
          </w:p>
          <w:p w:rsidR="009A50E3" w:rsidRDefault="009A50E3" w:rsidP="00265BE5"/>
        </w:tc>
        <w:tc>
          <w:tcPr>
            <w:tcW w:w="2152" w:type="dxa"/>
          </w:tcPr>
          <w:p w:rsidR="009A50E3" w:rsidRDefault="009A50E3" w:rsidP="00265BE5">
            <w:r>
              <w:t>Read about what birds and animals need. Science etc.</w:t>
            </w:r>
          </w:p>
        </w:tc>
        <w:tc>
          <w:tcPr>
            <w:tcW w:w="2258" w:type="dxa"/>
          </w:tcPr>
          <w:p w:rsidR="009A50E3" w:rsidRDefault="009A50E3" w:rsidP="00265BE5">
            <w:r>
              <w:t>PTA could buy new bird bath and feeders. Naturalist could talk about birds.</w:t>
            </w:r>
          </w:p>
        </w:tc>
      </w:tr>
      <w:tr w:rsidR="009A50E3" w:rsidTr="009A50E3">
        <w:tc>
          <w:tcPr>
            <w:tcW w:w="2178" w:type="dxa"/>
          </w:tcPr>
          <w:p w:rsidR="009A50E3" w:rsidRDefault="009A50E3" w:rsidP="00265BE5">
            <w:r w:rsidRPr="00B6012F">
              <w:rPr>
                <w:highlight w:val="yellow"/>
              </w:rPr>
              <w:t>Increase natural</w:t>
            </w:r>
            <w:r>
              <w:t xml:space="preserve"> materials on the playground.</w:t>
            </w:r>
          </w:p>
        </w:tc>
        <w:tc>
          <w:tcPr>
            <w:tcW w:w="1440" w:type="dxa"/>
          </w:tcPr>
          <w:p w:rsidR="009A50E3" w:rsidRDefault="009A50E3" w:rsidP="00265BE5">
            <w:r>
              <w:t>Both</w:t>
            </w:r>
          </w:p>
          <w:p w:rsidR="009A50E3" w:rsidRDefault="009A50E3" w:rsidP="00265BE5">
            <w:r>
              <w:t>Sept. 2014</w:t>
            </w:r>
          </w:p>
          <w:p w:rsidR="009A50E3" w:rsidRDefault="009A50E3" w:rsidP="00265BE5">
            <w:r>
              <w:t>$$</w:t>
            </w:r>
          </w:p>
        </w:tc>
        <w:tc>
          <w:tcPr>
            <w:tcW w:w="1890" w:type="dxa"/>
          </w:tcPr>
          <w:p w:rsidR="009A50E3" w:rsidRDefault="009A50E3" w:rsidP="00265BE5">
            <w:r>
              <w:t>Take pictures of kids using it.</w:t>
            </w:r>
          </w:p>
        </w:tc>
        <w:tc>
          <w:tcPr>
            <w:tcW w:w="2152" w:type="dxa"/>
          </w:tcPr>
          <w:p w:rsidR="009A50E3" w:rsidRDefault="009A50E3" w:rsidP="00265BE5">
            <w:r>
              <w:t>PE, Gross motor development</w:t>
            </w:r>
          </w:p>
        </w:tc>
        <w:tc>
          <w:tcPr>
            <w:tcW w:w="2258" w:type="dxa"/>
          </w:tcPr>
          <w:p w:rsidR="009A50E3" w:rsidRDefault="009A50E3" w:rsidP="00265BE5">
            <w:r>
              <w:t>Parent brings in the stumps</w:t>
            </w:r>
          </w:p>
        </w:tc>
      </w:tr>
      <w:tr w:rsidR="009A50E3" w:rsidTr="009A50E3">
        <w:tc>
          <w:tcPr>
            <w:tcW w:w="2178" w:type="dxa"/>
          </w:tcPr>
          <w:p w:rsidR="009A50E3" w:rsidRDefault="009A50E3" w:rsidP="00265BE5">
            <w:r w:rsidRPr="00B6012F">
              <w:rPr>
                <w:highlight w:val="yellow"/>
              </w:rPr>
              <w:t>Increase native</w:t>
            </w:r>
            <w:r>
              <w:t xml:space="preserve"> plants, blueberry bush, </w:t>
            </w:r>
            <w:proofErr w:type="spellStart"/>
            <w:r>
              <w:t>blackeyed</w:t>
            </w:r>
            <w:proofErr w:type="spellEnd"/>
            <w:r>
              <w:t xml:space="preserve"> </w:t>
            </w:r>
            <w:proofErr w:type="spellStart"/>
            <w:r>
              <w:t>susan</w:t>
            </w:r>
            <w:proofErr w:type="spellEnd"/>
            <w:r>
              <w:t>, goldenrod, fruit tree.</w:t>
            </w:r>
          </w:p>
        </w:tc>
        <w:tc>
          <w:tcPr>
            <w:tcW w:w="1440" w:type="dxa"/>
          </w:tcPr>
          <w:p w:rsidR="009A50E3" w:rsidRDefault="009A50E3" w:rsidP="00265BE5">
            <w:r>
              <w:t>All</w:t>
            </w:r>
          </w:p>
          <w:p w:rsidR="009A50E3" w:rsidRDefault="009A50E3" w:rsidP="00265BE5">
            <w:r>
              <w:t>May 2014</w:t>
            </w:r>
          </w:p>
          <w:p w:rsidR="009A50E3" w:rsidRDefault="009A50E3" w:rsidP="00265BE5">
            <w:r>
              <w:t>$$$ TBD</w:t>
            </w:r>
          </w:p>
        </w:tc>
        <w:tc>
          <w:tcPr>
            <w:tcW w:w="1890" w:type="dxa"/>
          </w:tcPr>
          <w:p w:rsidR="009A50E3" w:rsidRDefault="009A50E3" w:rsidP="00265BE5">
            <w:r>
              <w:t>Count how many. Note wildlife.</w:t>
            </w:r>
          </w:p>
        </w:tc>
        <w:tc>
          <w:tcPr>
            <w:tcW w:w="2152" w:type="dxa"/>
          </w:tcPr>
          <w:p w:rsidR="009A50E3" w:rsidRDefault="009A50E3" w:rsidP="00265BE5">
            <w:r>
              <w:t>biology</w:t>
            </w:r>
          </w:p>
        </w:tc>
        <w:tc>
          <w:tcPr>
            <w:tcW w:w="2258" w:type="dxa"/>
          </w:tcPr>
          <w:p w:rsidR="009A50E3" w:rsidRDefault="009A50E3" w:rsidP="00265BE5">
            <w:r>
              <w:t>Kids could help plant. Maybe we could get discount on plants. Honors group will help.</w:t>
            </w:r>
          </w:p>
        </w:tc>
      </w:tr>
      <w:tr w:rsidR="009A50E3" w:rsidTr="009A50E3">
        <w:tc>
          <w:tcPr>
            <w:tcW w:w="2178" w:type="dxa"/>
          </w:tcPr>
          <w:p w:rsidR="009A50E3" w:rsidRDefault="009A50E3" w:rsidP="00265BE5">
            <w:r w:rsidRPr="00B6012F">
              <w:rPr>
                <w:highlight w:val="yellow"/>
              </w:rPr>
              <w:t>Paint games on</w:t>
            </w:r>
            <w:r>
              <w:t xml:space="preserve"> basketball court</w:t>
            </w:r>
          </w:p>
        </w:tc>
        <w:tc>
          <w:tcPr>
            <w:tcW w:w="1440" w:type="dxa"/>
          </w:tcPr>
          <w:p w:rsidR="009A50E3" w:rsidRDefault="009A50E3" w:rsidP="00265BE5">
            <w:r>
              <w:t>Green Comm.</w:t>
            </w:r>
          </w:p>
          <w:p w:rsidR="009A50E3" w:rsidRDefault="009A50E3" w:rsidP="00265BE5">
            <w:r>
              <w:t>Sept.2014</w:t>
            </w:r>
          </w:p>
          <w:p w:rsidR="009A50E3" w:rsidRDefault="009A50E3" w:rsidP="00265BE5">
            <w:r>
              <w:t>$$TBD</w:t>
            </w:r>
          </w:p>
        </w:tc>
        <w:tc>
          <w:tcPr>
            <w:tcW w:w="1890" w:type="dxa"/>
          </w:tcPr>
          <w:p w:rsidR="009A50E3" w:rsidRDefault="009A50E3" w:rsidP="00265BE5">
            <w:r>
              <w:t xml:space="preserve">Count children using it </w:t>
            </w:r>
          </w:p>
        </w:tc>
        <w:tc>
          <w:tcPr>
            <w:tcW w:w="2152" w:type="dxa"/>
          </w:tcPr>
          <w:p w:rsidR="009A50E3" w:rsidRDefault="009A50E3" w:rsidP="00265BE5">
            <w:r>
              <w:t>PE math</w:t>
            </w:r>
          </w:p>
        </w:tc>
        <w:tc>
          <w:tcPr>
            <w:tcW w:w="2258" w:type="dxa"/>
          </w:tcPr>
          <w:p w:rsidR="009A50E3" w:rsidRDefault="009A50E3" w:rsidP="00265BE5">
            <w:r>
              <w:t>Grounds could paint it?</w:t>
            </w:r>
          </w:p>
        </w:tc>
      </w:tr>
    </w:tbl>
    <w:p w:rsidR="009A50E3" w:rsidRDefault="009A50E3" w:rsidP="009A50E3"/>
    <w:p w:rsidR="009A50E3" w:rsidRDefault="009A50E3">
      <w:r w:rsidRPr="00CD7206">
        <w:rPr>
          <w:b/>
        </w:rPr>
        <w:t>1-Rain Barrel-</w:t>
      </w:r>
      <w:r>
        <w:t xml:space="preserve"> </w:t>
      </w:r>
      <w:r w:rsidRPr="00CD7206">
        <w:t>Completed June 2013 </w:t>
      </w:r>
      <w:r w:rsidRPr="00CD7206">
        <w:br/>
      </w:r>
      <w:proofErr w:type="gramStart"/>
      <w:r w:rsidRPr="00CD7206">
        <w:t>After</w:t>
      </w:r>
      <w:proofErr w:type="gramEnd"/>
      <w:r w:rsidRPr="00CD7206">
        <w:t xml:space="preserve"> a fundraiser of selling reusable baggies, the PTA bought the school a rain barrel. The Purple Room Summer Camp Green Committee painted it and it was installed to use to water the gardens. It is estimated to save about 25 gallons of water per week during the watering season. The curriculum connection pertains to plant science </w:t>
      </w:r>
      <w:r w:rsidR="00CD7206">
        <w:t xml:space="preserve">and nutrition </w:t>
      </w:r>
      <w:r w:rsidRPr="00CD7206">
        <w:t>as the children take care of their garden</w:t>
      </w:r>
      <w:r w:rsidR="00CD7206">
        <w:t>, harvest and enjoy eating the vegetables</w:t>
      </w:r>
      <w:r w:rsidRPr="00CD7206">
        <w:t>.</w:t>
      </w:r>
    </w:p>
    <w:tbl>
      <w:tblPr>
        <w:tblStyle w:val="TableGrid"/>
        <w:tblW w:w="0" w:type="auto"/>
        <w:tblLook w:val="04A0"/>
      </w:tblPr>
      <w:tblGrid>
        <w:gridCol w:w="4788"/>
        <w:gridCol w:w="4788"/>
      </w:tblGrid>
      <w:tr w:rsidR="00CD7206" w:rsidTr="008742CE">
        <w:trPr>
          <w:trHeight w:val="1160"/>
        </w:trPr>
        <w:tc>
          <w:tcPr>
            <w:tcW w:w="4788" w:type="dxa"/>
          </w:tcPr>
          <w:p w:rsidR="00CD7206" w:rsidRDefault="008742CE" w:rsidP="008742CE">
            <w:r>
              <w:rPr>
                <w:noProof/>
              </w:rPr>
              <w:lastRenderedPageBreak/>
              <w:drawing>
                <wp:inline distT="0" distB="0" distL="0" distR="0">
                  <wp:extent cx="2299931" cy="1724025"/>
                  <wp:effectExtent l="19050" t="0" r="5119" b="0"/>
                  <wp:docPr id="3" name="Picture 2" descr="F:\CYC\2013\garden\oct13\IMG_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YC\2013\garden\oct13\IMG_2830.JPG"/>
                          <pic:cNvPicPr>
                            <a:picLocks noChangeAspect="1" noChangeArrowheads="1"/>
                          </pic:cNvPicPr>
                        </pic:nvPicPr>
                        <pic:blipFill>
                          <a:blip r:embed="rId4" cstate="screen"/>
                          <a:srcRect/>
                          <a:stretch>
                            <a:fillRect/>
                          </a:stretch>
                        </pic:blipFill>
                        <pic:spPr bwMode="auto">
                          <a:xfrm>
                            <a:off x="0" y="0"/>
                            <a:ext cx="2299931" cy="1724025"/>
                          </a:xfrm>
                          <a:prstGeom prst="rect">
                            <a:avLst/>
                          </a:prstGeom>
                          <a:noFill/>
                          <a:ln w="9525">
                            <a:noFill/>
                            <a:miter lim="800000"/>
                            <a:headEnd/>
                            <a:tailEnd/>
                          </a:ln>
                        </pic:spPr>
                      </pic:pic>
                    </a:graphicData>
                  </a:graphic>
                </wp:inline>
              </w:drawing>
            </w:r>
          </w:p>
        </w:tc>
        <w:tc>
          <w:tcPr>
            <w:tcW w:w="4788" w:type="dxa"/>
          </w:tcPr>
          <w:p w:rsidR="00CD7206" w:rsidRDefault="008742CE">
            <w:r>
              <w:rPr>
                <w:noProof/>
              </w:rPr>
              <w:drawing>
                <wp:inline distT="0" distB="0" distL="0" distR="0">
                  <wp:extent cx="2600325" cy="1949201"/>
                  <wp:effectExtent l="19050" t="0" r="9525" b="0"/>
                  <wp:docPr id="5" name="Picture 3" descr="F:\CYC\2013\June2013\IMG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YC\2013\June2013\IMG_0209.JPG"/>
                          <pic:cNvPicPr>
                            <a:picLocks noChangeAspect="1" noChangeArrowheads="1"/>
                          </pic:cNvPicPr>
                        </pic:nvPicPr>
                        <pic:blipFill>
                          <a:blip r:embed="rId5" cstate="screen"/>
                          <a:srcRect/>
                          <a:stretch>
                            <a:fillRect/>
                          </a:stretch>
                        </pic:blipFill>
                        <pic:spPr bwMode="auto">
                          <a:xfrm>
                            <a:off x="0" y="0"/>
                            <a:ext cx="2603677" cy="1951713"/>
                          </a:xfrm>
                          <a:prstGeom prst="rect">
                            <a:avLst/>
                          </a:prstGeom>
                          <a:noFill/>
                          <a:ln w="9525">
                            <a:noFill/>
                            <a:miter lim="800000"/>
                            <a:headEnd/>
                            <a:tailEnd/>
                          </a:ln>
                        </pic:spPr>
                      </pic:pic>
                    </a:graphicData>
                  </a:graphic>
                </wp:inline>
              </w:drawing>
            </w:r>
          </w:p>
        </w:tc>
      </w:tr>
      <w:tr w:rsidR="00CD7206" w:rsidTr="00CD7206">
        <w:tc>
          <w:tcPr>
            <w:tcW w:w="4788" w:type="dxa"/>
          </w:tcPr>
          <w:p w:rsidR="00CD7206" w:rsidRDefault="00CD7206"/>
        </w:tc>
        <w:tc>
          <w:tcPr>
            <w:tcW w:w="4788" w:type="dxa"/>
          </w:tcPr>
          <w:p w:rsidR="00CD7206" w:rsidRDefault="00CD7206"/>
        </w:tc>
      </w:tr>
    </w:tbl>
    <w:p w:rsidR="00CD7206" w:rsidRDefault="00CD7206"/>
    <w:p w:rsidR="00CD7206" w:rsidRDefault="00CD7206">
      <w:r>
        <w:t>2-</w:t>
      </w:r>
      <w:r w:rsidRPr="00E8558B">
        <w:rPr>
          <w:b/>
        </w:rPr>
        <w:t>Schoolyard Habitat</w:t>
      </w:r>
      <w:r>
        <w:t xml:space="preserve">- </w:t>
      </w:r>
      <w:r w:rsidRPr="00E8558B">
        <w:t>Completed February 2014 </w:t>
      </w:r>
      <w:r>
        <w:rPr>
          <w:rFonts w:ascii="Arial" w:hAnsi="Arial" w:cs="Arial"/>
          <w:color w:val="464E54"/>
          <w:sz w:val="18"/>
          <w:szCs w:val="18"/>
        </w:rPr>
        <w:br/>
      </w:r>
      <w:proofErr w:type="gramStart"/>
      <w:r w:rsidRPr="00CD7206">
        <w:t>The</w:t>
      </w:r>
      <w:proofErr w:type="gramEnd"/>
      <w:r w:rsidRPr="00CD7206">
        <w:t xml:space="preserve"> PTA will be asked to purchase the sign for this award. Curriculum addressed includes biology as the children learn about the birds and insects on their schoolyard.  </w:t>
      </w:r>
      <w:r w:rsidRPr="00CD7206">
        <w:rPr>
          <w:b/>
          <w:bCs/>
        </w:rPr>
        <w:t>Food Sources-</w:t>
      </w:r>
      <w:r w:rsidRPr="00CD7206">
        <w:t> We provide seeds, suet and have two hummingbird feeders. The</w:t>
      </w:r>
      <w:proofErr w:type="gramStart"/>
      <w:r w:rsidRPr="00CD7206">
        <w:t>  playground</w:t>
      </w:r>
      <w:proofErr w:type="gramEnd"/>
      <w:r w:rsidRPr="00CD7206">
        <w:t xml:space="preserve"> has a berry bush, flowers including asters, petunias, chrysanthemums, several butterfly bushes, milk weed and crepe myrtle. There are many trees and bushes.  </w:t>
      </w:r>
      <w:r w:rsidRPr="00CD7206">
        <w:rPr>
          <w:b/>
          <w:bCs/>
        </w:rPr>
        <w:t>Water Sources-</w:t>
      </w:r>
      <w:r w:rsidRPr="00CD7206">
        <w:t> There are two birdbaths. </w:t>
      </w:r>
      <w:r w:rsidRPr="00CD7206">
        <w:rPr>
          <w:b/>
          <w:bCs/>
        </w:rPr>
        <w:t>Cover and Places to Raise Young-</w:t>
      </w:r>
      <w:r w:rsidRPr="00CD7206">
        <w:t> There are at least 5 nesting boxes painted by the children, 3 evergreen trees and many dense shrubs. There are milkweed, aster and violet plants for the caterpillars in many of the gardens. One of our gardens has native plants only.</w:t>
      </w:r>
      <w:r w:rsidRPr="00CD7206">
        <w:br/>
        <w:t>Feb. 8, 2014- The PTA agreed to purchase the School Yard Habitat sign.</w:t>
      </w:r>
    </w:p>
    <w:p w:rsidR="00CD7206" w:rsidRDefault="00E8558B">
      <w:r w:rsidRPr="00E8558B">
        <w:rPr>
          <w:b/>
        </w:rPr>
        <w:t>Curriculum</w:t>
      </w:r>
      <w:r>
        <w:t xml:space="preserve">- </w:t>
      </w:r>
      <w:r w:rsidR="00CD7206" w:rsidRPr="00E8558B">
        <w:t xml:space="preserve">February 9, 2014 the teachers had a workshop on gardens including how to attract </w:t>
      </w:r>
      <w:r w:rsidRPr="00E8558B">
        <w:t>butterflies</w:t>
      </w:r>
      <w:r w:rsidR="00CD7206" w:rsidRPr="00E8558B">
        <w:t xml:space="preserve"> and insects to the garden with teaching plans and ideas. Bird count data sheets were set out by the windows in each classroom and children began to fill them out. CYC was registered for the Audubon </w:t>
      </w:r>
      <w:r w:rsidRPr="00E8558B">
        <w:t>Societie</w:t>
      </w:r>
      <w:r>
        <w:t>s</w:t>
      </w:r>
      <w:r w:rsidRPr="00E8558B">
        <w:t>’</w:t>
      </w:r>
      <w:r w:rsidR="00CD7206" w:rsidRPr="00E8558B">
        <w:t xml:space="preserve"> February Bird Count and data was entered on February 19, 2014. Children helped record the data on the playground.</w:t>
      </w:r>
      <w:r>
        <w:t xml:space="preserve"> Significantly more birds are observed when the feeders are full. Teacher Janice Gonzalez takes charge of making sure feeders are replenished each week with the help of the children.</w:t>
      </w:r>
    </w:p>
    <w:tbl>
      <w:tblPr>
        <w:tblStyle w:val="TableGrid"/>
        <w:tblW w:w="0" w:type="auto"/>
        <w:tblLook w:val="04A0"/>
      </w:tblPr>
      <w:tblGrid>
        <w:gridCol w:w="4802"/>
        <w:gridCol w:w="4774"/>
      </w:tblGrid>
      <w:tr w:rsidR="00E8558B" w:rsidTr="00E8558B">
        <w:tc>
          <w:tcPr>
            <w:tcW w:w="4788" w:type="dxa"/>
          </w:tcPr>
          <w:p w:rsidR="00E8558B" w:rsidRDefault="00DD7C64">
            <w:r>
              <w:rPr>
                <w:noProof/>
              </w:rPr>
              <w:lastRenderedPageBreak/>
              <w:drawing>
                <wp:inline distT="0" distB="0" distL="0" distR="0">
                  <wp:extent cx="2578894" cy="3038475"/>
                  <wp:effectExtent l="19050" t="0" r="0" b="0"/>
                  <wp:docPr id="1" name="Picture 0" descr="IMG_4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76.JPG"/>
                          <pic:cNvPicPr/>
                        </pic:nvPicPr>
                        <pic:blipFill>
                          <a:blip r:embed="rId6" cstate="screen"/>
                          <a:stretch>
                            <a:fillRect/>
                          </a:stretch>
                        </pic:blipFill>
                        <pic:spPr>
                          <a:xfrm>
                            <a:off x="0" y="0"/>
                            <a:ext cx="2578894" cy="3038475"/>
                          </a:xfrm>
                          <a:prstGeom prst="rect">
                            <a:avLst/>
                          </a:prstGeom>
                        </pic:spPr>
                      </pic:pic>
                    </a:graphicData>
                  </a:graphic>
                </wp:inline>
              </w:drawing>
            </w:r>
          </w:p>
        </w:tc>
        <w:tc>
          <w:tcPr>
            <w:tcW w:w="4788" w:type="dxa"/>
          </w:tcPr>
          <w:p w:rsidR="00E8558B" w:rsidRDefault="008742CE">
            <w:r>
              <w:rPr>
                <w:noProof/>
              </w:rPr>
              <w:drawing>
                <wp:inline distT="0" distB="0" distL="0" distR="0">
                  <wp:extent cx="3062340" cy="2295525"/>
                  <wp:effectExtent l="19050" t="0" r="4710" b="0"/>
                  <wp:docPr id="2" name="Picture 1" descr="F:\CYC\2013\garden\oct13\IMG_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YC\2013\garden\oct13\IMG_2828.JPG"/>
                          <pic:cNvPicPr>
                            <a:picLocks noChangeAspect="1" noChangeArrowheads="1"/>
                          </pic:cNvPicPr>
                        </pic:nvPicPr>
                        <pic:blipFill>
                          <a:blip r:embed="rId7" cstate="screen"/>
                          <a:srcRect/>
                          <a:stretch>
                            <a:fillRect/>
                          </a:stretch>
                        </pic:blipFill>
                        <pic:spPr bwMode="auto">
                          <a:xfrm>
                            <a:off x="0" y="0"/>
                            <a:ext cx="3062926" cy="2295964"/>
                          </a:xfrm>
                          <a:prstGeom prst="rect">
                            <a:avLst/>
                          </a:prstGeom>
                          <a:noFill/>
                          <a:ln w="9525">
                            <a:noFill/>
                            <a:miter lim="800000"/>
                            <a:headEnd/>
                            <a:tailEnd/>
                          </a:ln>
                        </pic:spPr>
                      </pic:pic>
                    </a:graphicData>
                  </a:graphic>
                </wp:inline>
              </w:drawing>
            </w:r>
          </w:p>
        </w:tc>
      </w:tr>
      <w:tr w:rsidR="00E8558B" w:rsidTr="00E8558B">
        <w:tc>
          <w:tcPr>
            <w:tcW w:w="4788" w:type="dxa"/>
          </w:tcPr>
          <w:p w:rsidR="00E8558B" w:rsidRDefault="0090792C">
            <w:r w:rsidRPr="0090792C">
              <w:rPr>
                <w:noProof/>
              </w:rPr>
              <w:drawing>
                <wp:inline distT="0" distB="0" distL="0" distR="0">
                  <wp:extent cx="3086100" cy="2313336"/>
                  <wp:effectExtent l="19050" t="0" r="0" b="0"/>
                  <wp:docPr id="9" name="Picture 4" descr="F:\CYC\2013\NovDec13\IMG_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YC\2013\NovDec13\IMG_3308.JPG"/>
                          <pic:cNvPicPr>
                            <a:picLocks noChangeAspect="1" noChangeArrowheads="1"/>
                          </pic:cNvPicPr>
                        </pic:nvPicPr>
                        <pic:blipFill>
                          <a:blip r:embed="rId8" cstate="screen"/>
                          <a:srcRect/>
                          <a:stretch>
                            <a:fillRect/>
                          </a:stretch>
                        </pic:blipFill>
                        <pic:spPr bwMode="auto">
                          <a:xfrm>
                            <a:off x="0" y="0"/>
                            <a:ext cx="3087752" cy="2314574"/>
                          </a:xfrm>
                          <a:prstGeom prst="rect">
                            <a:avLst/>
                          </a:prstGeom>
                          <a:noFill/>
                          <a:ln w="9525">
                            <a:noFill/>
                            <a:miter lim="800000"/>
                            <a:headEnd/>
                            <a:tailEnd/>
                          </a:ln>
                        </pic:spPr>
                      </pic:pic>
                    </a:graphicData>
                  </a:graphic>
                </wp:inline>
              </w:drawing>
            </w:r>
          </w:p>
        </w:tc>
        <w:tc>
          <w:tcPr>
            <w:tcW w:w="4788" w:type="dxa"/>
          </w:tcPr>
          <w:p w:rsidR="00E8558B" w:rsidRDefault="0090792C">
            <w:r w:rsidRPr="0090792C">
              <w:rPr>
                <w:noProof/>
              </w:rPr>
              <w:drawing>
                <wp:inline distT="0" distB="0" distL="0" distR="0">
                  <wp:extent cx="2897151" cy="2171700"/>
                  <wp:effectExtent l="19050" t="0" r="0" b="0"/>
                  <wp:docPr id="10" name="Picture 5" descr="F:\CYC\2013\NovDec13\IMG_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YC\2013\NovDec13\IMG_3225.JPG"/>
                          <pic:cNvPicPr>
                            <a:picLocks noChangeAspect="1" noChangeArrowheads="1"/>
                          </pic:cNvPicPr>
                        </pic:nvPicPr>
                        <pic:blipFill>
                          <a:blip r:embed="rId9" cstate="screen"/>
                          <a:srcRect/>
                          <a:stretch>
                            <a:fillRect/>
                          </a:stretch>
                        </pic:blipFill>
                        <pic:spPr bwMode="auto">
                          <a:xfrm>
                            <a:off x="0" y="0"/>
                            <a:ext cx="2897151" cy="2171700"/>
                          </a:xfrm>
                          <a:prstGeom prst="rect">
                            <a:avLst/>
                          </a:prstGeom>
                          <a:noFill/>
                          <a:ln w="9525">
                            <a:noFill/>
                            <a:miter lim="800000"/>
                            <a:headEnd/>
                            <a:tailEnd/>
                          </a:ln>
                        </pic:spPr>
                      </pic:pic>
                    </a:graphicData>
                  </a:graphic>
                </wp:inline>
              </w:drawing>
            </w:r>
          </w:p>
        </w:tc>
      </w:tr>
    </w:tbl>
    <w:p w:rsidR="00E8558B" w:rsidRDefault="00E8558B"/>
    <w:p w:rsidR="00E8558B" w:rsidRDefault="00E8558B"/>
    <w:sectPr w:rsidR="00E8558B" w:rsidSect="00FC5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0E3"/>
    <w:rsid w:val="005103AF"/>
    <w:rsid w:val="008742CE"/>
    <w:rsid w:val="0090792C"/>
    <w:rsid w:val="009A50E3"/>
    <w:rsid w:val="009D1C7E"/>
    <w:rsid w:val="00B13BBB"/>
    <w:rsid w:val="00C34819"/>
    <w:rsid w:val="00CD7206"/>
    <w:rsid w:val="00D13279"/>
    <w:rsid w:val="00DD7C64"/>
    <w:rsid w:val="00E8558B"/>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0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50E3"/>
  </w:style>
  <w:style w:type="character" w:styleId="Strong">
    <w:name w:val="Strong"/>
    <w:basedOn w:val="DefaultParagraphFont"/>
    <w:uiPriority w:val="22"/>
    <w:qFormat/>
    <w:rsid w:val="00CD7206"/>
    <w:rPr>
      <w:b/>
      <w:bCs/>
    </w:rPr>
  </w:style>
  <w:style w:type="paragraph" w:styleId="BalloonText">
    <w:name w:val="Balloon Text"/>
    <w:basedOn w:val="Normal"/>
    <w:link w:val="BalloonTextChar"/>
    <w:uiPriority w:val="99"/>
    <w:semiHidden/>
    <w:unhideWhenUsed/>
    <w:rsid w:val="00DD7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3</cp:revision>
  <dcterms:created xsi:type="dcterms:W3CDTF">2014-03-01T13:07:00Z</dcterms:created>
  <dcterms:modified xsi:type="dcterms:W3CDTF">2014-03-01T21:04:00Z</dcterms:modified>
</cp:coreProperties>
</file>